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D91C70"/>
          <w:sz w:val="20"/>
          <w:szCs w:val="20"/>
        </w:rPr>
        <w:t xml:space="preserve">Arbeitshilfe 12</w:t>
      </w:r>
    </w:p>
    <w:p>
      <w:pPr>
        <w:pStyle w:val="Heading1"/>
      </w:pPr>
      <w:r>
        <w:t xml:space="preserve">Jahresbericht Graffiti und Vandalismus</w:t>
      </w:r>
    </w:p>
    <w:p>
      <w:r>
        <w:rPr>
          <w:i/>
          <w:iCs/>
          <w:sz w:val="22"/>
          <w:szCs w:val="22"/>
        </w:rPr>
        <w:t xml:space="preserve">Kennzahlenraster und Berichtsstruktur für die jährliche Auswertung von Meldungen, Kosten, Hotspots und Präventionsarbeit.</w:t>
      </w:r>
    </w:p>
    <w:p>
      <w:r>
        <w:rPr>
          <w:color w:val="5A6272"/>
          <w:sz w:val="18"/>
          <w:szCs w:val="18"/>
        </w:rPr>
        <w:t xml:space="preserve">AH-12 · Kategorie: Auswertung und Berichtswesen · Version 1.0 · Stand 2026-08-24 · Redaktion: Redaktion GraffitiNetzwerk Thüringen</w:t>
      </w:r>
    </w:p>
    <w:p>
      <w:r>
        <w:rPr>
          <w:color w:val="5A6272"/>
          <w:sz w:val="18"/>
          <w:szCs w:val="18"/>
        </w:rPr>
        <w:t xml:space="preserve">Zielgruppe: Controlling, zentrale Koordination, Gremienbüro · Bearbeitungsdauer: ca. 2 Stunden je Berichtsjahr</w:t>
      </w:r>
    </w:p>
    <w:p>
      <w:pPr>
        <w:pBdr>
          <w:bottom w:val="single" w:color="D91C70" w:sz="6" w:space="4"/>
        </w:pBdr>
      </w:pPr>
      <w:r>
        <w:rPr>
          <w:sz w:val="18"/>
          <w:szCs w:val="18"/>
        </w:rPr>
        <w:t xml:space="preserve">Unverbindliche Arbeitshilfe – keine Rechtsberatung. Zuständigkeiten, Fristen, Vergabevorschriften, Datenschutzanforderungen und rechtliche Regelungen sind vor der Verwendung durch die zuständigen Stellen der Kommune zu prüfen und anzupassen.</w:t>
      </w:r>
    </w:p>
    <w:p>
      <w:pPr>
        <w:pStyle w:val="Heading2"/>
      </w:pPr>
      <w:r>
        <w:t xml:space="preserve">Kennzahlen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Anzahl eingegangener Meldungen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Anzahl bestätigter Graffitifälle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Beseitigte Graffiti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Offene Vorgänge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Durchschnittliche Bearbeitungszeit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Anteil besonders dringlicher Inhalte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Fläche der entfernten Graffiti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Kosten der Entfernung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Kosten für Schutzsysteme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Kosten nach Organisationseinheit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Fälle nach Ortsteil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Fälle nach Objektart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Fälle nach Eigentümergruppe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Fälle nach Untergrund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Wiederholungsfälle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Häufig betroffene Standorte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Anzahl geschützter Flächen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Anzahl legaler Flächen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Präventionsprojekte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Beteiligte Schulen und Jugendzentren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Teilnehmer an Workshops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Beschwerden und Bürgerhinweise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Vergleich mit dem Vorjahr</w:t>
      </w:r>
    </w:p>
    <w:p>
      <w:r>
        <w:rPr>
          <w:color w:val="5A6272"/>
          <w:sz w:val="20"/>
          <w:szCs w:val="20"/>
        </w:rPr>
        <w:t xml:space="preserve">Kommunale Ergänzung: [____________________________________________]</w:t>
      </w:r>
    </w:p>
    <w:p>
      <w:pPr>
        <w:pStyle w:val="Heading2"/>
      </w:pPr>
      <w:r>
        <w:t xml:space="preserve">Automatisch erzeugte Berichtsteile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Management-Zusammenfassung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Diagramme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Kostenentwicklung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Hotspot-Auswertung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Vergleich zum Vorjahr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Bewertung der Zielerreichung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Handlungsempfehlungen für das Folgejahr</w:t>
      </w:r>
    </w:p>
    <w:p>
      <w:r>
        <w:rPr>
          <w:color w:val="5A6272"/>
          <w:sz w:val="20"/>
          <w:szCs w:val="20"/>
        </w:rPr>
        <w:t xml:space="preserve">Kommunale Ergänzung: [____________________________________________]</w:t>
      </w:r>
    </w:p>
    <w:p>
      <w:pPr>
        <w:pStyle w:val="Heading2"/>
      </w:pPr>
      <w:r>
        <w:t xml:space="preserve">Wichtige Hinweise</w:t>
      </w:r>
    </w:p>
    <w:p>
      <w:r>
        <w:rPr>
          <w:sz w:val="22"/>
          <w:szCs w:val="22"/>
        </w:rPr>
        <w:t xml:space="preserve">Vor Veröffentlichung prüfen: personenbezogene Daten, genaue Angaben zu gefährdeten Objekten und polizeilich sensible Informationen dürfen nicht ungeprüft veröffentlicht werden.</w:t>
      </w:r>
    </w:p>
    <w:p>
      <w:pPr>
        <w:pStyle w:val="Heading2"/>
      </w:pPr>
      <w:r>
        <w:t xml:space="preserve">Quellen und weiterführende Informationen</w:t>
      </w:r>
    </w:p>
    <w:p>
      <w:pPr>
        <w:pStyle w:val="ListParagraph"/>
        <w:numPr>
          <w:ilvl w:val="0"/>
          <w:numId w:val="2"/>
        </w:numPr>
      </w:pPr>
      <w:r>
        <w:rPr>
          <w:sz w:val="20"/>
          <w:szCs w:val="20"/>
        </w:rPr>
        <w:t xml:space="preserve">GraffitiNetzwerk Thüringen: Statistik – https://www.graffitinetz.de/statistik</w:t>
      </w:r>
    </w:p>
    <w:p>
      <w:pPr>
        <w:pStyle w:val="Heading2"/>
      </w:pPr>
      <w:r>
        <w:t xml:space="preserve">Änderungsverlauf</w:t>
      </w:r>
    </w:p>
    <w:p>
      <w:pPr>
        <w:pStyle w:val="ListParagraph"/>
        <w:numPr>
          <w:ilvl w:val="0"/>
          <w:numId w:val="2"/>
        </w:numPr>
      </w:pPr>
      <w:r>
        <w:rPr>
          <w:sz w:val="20"/>
          <w:szCs w:val="20"/>
        </w:rPr>
        <w:t xml:space="preserve">Version 1.0 (2026-08-24): Erstveröffentlichung im kommunalen Werkzeugkasten.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A6272"/>
        <w:sz w:val="16"/>
        <w:szCs w:val="16"/>
      </w:rPr>
      <w:t xml:space="preserve">Unverbindliche Arbeitshilfe – keine Rechtsberatung. Seite </w:t>
    </w:r>
    <w:r>
      <w:rPr>
        <w:color w:val="5A62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5A6272"/>
        <w:sz w:val="16"/>
        <w:szCs w:val="16"/>
      </w:rPr>
      <w:t xml:space="preserve">GraffitiNetzwerk Thüringen · www.graffitinetz.de · AH-12 · Version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24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40" w:before="26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2026-08-24T18:25:22.513Z</dcterms:created>
  <dcterms:modified xsi:type="dcterms:W3CDTF">2026-08-24T18:25:22.513Z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