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11</w:t>
      </w:r>
    </w:p>
    <w:p>
      <w:pPr>
        <w:pStyle w:val="Heading1"/>
      </w:pPr>
      <w:r>
        <w:t xml:space="preserve">Checkliste für Denkmalschutz und historische Oberflächen</w:t>
      </w:r>
    </w:p>
    <w:p>
      <w:r>
        <w:rPr>
          <w:i/>
          <w:iCs/>
          <w:sz w:val="22"/>
          <w:szCs w:val="22"/>
        </w:rPr>
        <w:t xml:space="preserve">15 Prüfpunkte vor jeder Reinigungsmaßnahme an Denkmälern, Naturstein, historischem Putz und anderen empfindlichen Oberflächen.</w:t>
      </w:r>
    </w:p>
    <w:p>
      <w:r>
        <w:rPr>
          <w:color w:val="5A6272"/>
          <w:sz w:val="18"/>
          <w:szCs w:val="18"/>
        </w:rPr>
        <w:t xml:space="preserve">AH-11 · Kategorie: Denkmalschutz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Untere Denkmalschutzbehörde, Gebäudemanagement, Fachbetriebe · Bearbeitungsdauer: ca. 15 Minuten je Objekt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Prüfpunkte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Handelt es sich um ein Einzeldenkmal oder Bestandteil eines Denkmalensembles?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Ist die Fläche Teil eines UNESCO- oder besonders geschützten Bereiches?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Welche Eigentumsverhältnisse bestehen?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Welche Behörde oder Fachstelle muss beteiligt werden?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Welcher Untergrund liegt vor?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Gibt es frühere Beschichtungen oder Restaurierungen?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Wie tief ist die Farbe eingedrungen?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Sind Probe- und Musterflächen erforderlich?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Muss ein Restaurator eingebunden werden?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Welche Verfahren dürfen nicht ohne vorherige Prüfung eingesetzt werden?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Wie werden Wasser, Chemikalien und gelöste Farbpartikel aufgefangen?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Welche angrenzenden Bauteile müssen geschützt werden?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Wie wird der Zustand vor und nach der Maßnahme dokumentiert?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Ist ein dauerhafter Oberflächenschutz denkmalfachlich zulässig?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Sind gestalterische oder bauliche Präventionsmaßnahmen möglich?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Warnhinweis: An historischen, porösen oder denkmalgeschützten Oberflächen dürfen Reinigungsmittel, Druck, Temperatur, Strahlmittel oder Schutzsysteme nicht ohne fachliche Vorprüfung eingesetzt werden. Eine ungeeignete Behandlung kann irreversible Schäden verursachen.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Methoden und Untergründe – https://www.graffitinetz.de/loesungen/finder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AH-11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2026-08-24T18:25:22.486Z</dcterms:created>
  <dcterms:modified xsi:type="dcterms:W3CDTF">2026-08-24T18:25:22.486Z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