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D91C70"/>
          <w:sz w:val="20"/>
          <w:szCs w:val="20"/>
        </w:rPr>
        <w:t xml:space="preserve">Arbeitshilfe 10</w:t>
      </w:r>
    </w:p>
    <w:p>
      <w:pPr>
        <w:pStyle w:val="Heading1"/>
      </w:pPr>
      <w:r>
        <w:t xml:space="preserve">Vereinbarung über eine legale Graffiti-Fläche</w:t>
      </w:r>
    </w:p>
    <w:p>
      <w:r>
        <w:rPr>
          <w:i/>
          <w:iCs/>
          <w:sz w:val="22"/>
          <w:szCs w:val="22"/>
        </w:rPr>
        <w:t xml:space="preserve">Mustervereinbarung zwischen Kommune, Eigentümer und Nutzergruppe für legale Gestaltungsflächen – inklusive Standort-Checkliste.</w:t>
      </w:r>
    </w:p>
    <w:p>
      <w:r>
        <w:rPr>
          <w:color w:val="5A6272"/>
          <w:sz w:val="18"/>
          <w:szCs w:val="18"/>
        </w:rPr>
        <w:t xml:space="preserve">AH-10 · Kategorie: Prävention und legale Flächen · Version 1.0 · Stand 2026-08-24 · Redaktion: Redaktion GraffitiNetzwerk Thüringen</w:t>
      </w:r>
    </w:p>
    <w:p>
      <w:r>
        <w:rPr>
          <w:color w:val="5A6272"/>
          <w:sz w:val="18"/>
          <w:szCs w:val="18"/>
        </w:rPr>
        <w:t xml:space="preserve">Zielgruppe: Jugendamt, Ordnungsamt, Kulturamt, Streetwork, Eigentümer · Bearbeitungsdauer: ca. 45 Minuten Anpassung</w:t>
      </w:r>
    </w:p>
    <w:p>
      <w:pPr>
        <w:pBdr>
          <w:bottom w:val="single" w:color="D91C70" w:sz="6" w:space="4"/>
        </w:pBdr>
      </w:pPr>
      <w:r>
        <w:rPr>
          <w:sz w:val="18"/>
          <w:szCs w:val="18"/>
        </w:rPr>
        <w:t xml:space="preserve">Unverbindliche Arbeitshilfe – keine Rechtsberatung. Zuständigkeiten, Fristen, Vergabevorschriften, Datenschutzanforderungen und rechtliche Regelungen sind vor der Verwendung durch die zuständigen Stellen der Kommune zu prüfen und anzupassen.</w:t>
      </w:r>
    </w:p>
    <w:p>
      <w:pPr>
        <w:pStyle w:val="Heading2"/>
      </w:pPr>
      <w:r>
        <w:t xml:space="preserve">Inhalte der Vereinbarung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Vertragspartner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Bezeichnung und Lage der Fläche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Eigentumsverhältnisse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Genaue räumliche Abgrenzung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Nutzungszeiten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Zugelassene Materialien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Schutz angrenzender Flächen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Alters- und Aufsichtsregelungen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Arbeitsschutz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Mögliche Lärm- und Nachbarschaftsregelungen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Verbot strafbarer, menschenverachtender und diskriminierender Inhalte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Umgang mit politischen Botschaften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Übermalungs- und Wechselregeln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Kuratierung und Betreuung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Einbindung von Streetwork und Jugendhilfe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Reinigung des Umfeldes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Abfallentsorgung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Haftung und Versicherung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Dokumentation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Öffentlichkeitsarbeit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Laufzeit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Widerruf und Kündigung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Ansprechpartner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Unterschriften</w:t>
      </w:r>
    </w:p>
    <w:p>
      <w:r>
        <w:rPr>
          <w:color w:val="5A6272"/>
          <w:sz w:val="20"/>
          <w:szCs w:val="20"/>
        </w:rPr>
        <w:t xml:space="preserve">Kommunale Ergänzung: [____________________________________________]</w:t>
      </w:r>
    </w:p>
    <w:p>
      <w:pPr>
        <w:pStyle w:val="Heading2"/>
      </w:pPr>
      <w:r>
        <w:t xml:space="preserve">Flächen-Checkliste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Sichere Erreichbarkeit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Ausreichender Abstand zu Verkehr und Gleisanlagen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Keine Gefährdung Dritter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Geeigneter Untergrund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Beleuchtung und Einsehbarkeit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Abfallbehälter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Mögliche Lärmbelastung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Betreuung oder Patenschaft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Zustimmung des Eigentümers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Abstimmung mit Ordnungsamt, Jugendamt und gegebenenfalls Denkmalschutz</w:t>
      </w:r>
    </w:p>
    <w:p>
      <w:r>
        <w:rPr>
          <w:color w:val="5A6272"/>
          <w:sz w:val="20"/>
          <w:szCs w:val="20"/>
        </w:rPr>
        <w:t xml:space="preserve">Kommunale Ergänzung: [____________________________________________]</w:t>
      </w:r>
    </w:p>
    <w:p>
      <w:pPr>
        <w:pStyle w:val="Heading2"/>
      </w:pPr>
      <w:r>
        <w:t xml:space="preserve">Wichtige Hinweise</w:t>
      </w:r>
    </w:p>
    <w:p>
      <w:r>
        <w:rPr>
          <w:sz w:val="22"/>
          <w:szCs w:val="22"/>
        </w:rPr>
        <w:t xml:space="preserve">Unverbindliches Muster. Haftungs-, Versicherungs- und Aufsichtsfragen sind vor Abschluss rechtlich zu prüfen.</w:t>
      </w:r>
    </w:p>
    <w:p>
      <w:pPr>
        <w:pStyle w:val="Heading2"/>
      </w:pPr>
      <w:r>
        <w:t xml:space="preserve">Quellen und weiterführende Informationen</w:t>
      </w:r>
    </w:p>
    <w:p>
      <w:pPr>
        <w:pStyle w:val="ListParagraph"/>
        <w:numPr>
          <w:ilvl w:val="0"/>
          <w:numId w:val="2"/>
        </w:numPr>
      </w:pPr>
      <w:r>
        <w:rPr>
          <w:sz w:val="20"/>
          <w:szCs w:val="20"/>
        </w:rPr>
        <w:t xml:space="preserve">GraffitiNetzwerk Thüringen: Street Art – https://www.graffitinetz.de/street-art</w:t>
      </w:r>
    </w:p>
    <w:p>
      <w:pPr>
        <w:pStyle w:val="Heading2"/>
      </w:pPr>
      <w:r>
        <w:t xml:space="preserve">Änderungsverlauf</w:t>
      </w:r>
    </w:p>
    <w:p>
      <w:pPr>
        <w:pStyle w:val="ListParagraph"/>
        <w:numPr>
          <w:ilvl w:val="0"/>
          <w:numId w:val="2"/>
        </w:numPr>
      </w:pPr>
      <w:r>
        <w:rPr>
          <w:sz w:val="20"/>
          <w:szCs w:val="20"/>
        </w:rPr>
        <w:t xml:space="preserve">Version 1.0 (2026-08-24): Erstveröffentlichung im kommunalen Werkzeugkasten.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A6272"/>
        <w:sz w:val="16"/>
        <w:szCs w:val="16"/>
      </w:rPr>
      <w:t xml:space="preserve">Unverbindliche Arbeitshilfe – keine Rechtsberatung. Seite </w:t>
    </w:r>
    <w:r>
      <w:rPr>
        <w:color w:val="5A62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5A6272"/>
        <w:sz w:val="16"/>
        <w:szCs w:val="16"/>
      </w:rPr>
      <w:t xml:space="preserve">GraffitiNetzwerk Thüringen · www.graffitinetz.de · AH-10 · Version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24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40" w:before="26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2026-08-24T18:25:22.452Z</dcterms:created>
  <dcterms:modified xsi:type="dcterms:W3CDTF">2026-08-24T18:25:22.452Z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