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D91C70"/>
          <w:sz w:val="20"/>
          <w:szCs w:val="20"/>
        </w:rPr>
        <w:t xml:space="preserve">Arbeitshilfe 7</w:t>
      </w:r>
    </w:p>
    <w:p>
      <w:pPr>
        <w:pStyle w:val="Heading1"/>
      </w:pPr>
      <w:r>
        <w:t xml:space="preserve">Ausschreibungs- und Rahmenvertragsbausteine</w:t>
      </w:r>
    </w:p>
    <w:p>
      <w:r>
        <w:rPr>
          <w:i/>
          <w:iCs/>
          <w:sz w:val="22"/>
          <w:szCs w:val="22"/>
        </w:rPr>
        <w:t xml:space="preserve">Neutrale Textbausteine für Rahmenverträge über Graffitientfernung und Oberflächenschutz sowie eine anpassbare Bewertungsmatrix.</w:t>
      </w:r>
    </w:p>
    <w:p>
      <w:r>
        <w:rPr>
          <w:color w:val="5A6272"/>
          <w:sz w:val="18"/>
          <w:szCs w:val="18"/>
        </w:rPr>
        <w:t xml:space="preserve">AH-07 · Kategorie: Ausschreibung und Vergabe · Version 1.0 · Stand 2026-08-24 · Redaktion: Redaktion GraffitiNetzwerk Thüringen</w:t>
      </w:r>
    </w:p>
    <w:p>
      <w:r>
        <w:rPr>
          <w:color w:val="5A6272"/>
          <w:sz w:val="18"/>
          <w:szCs w:val="18"/>
        </w:rPr>
        <w:t xml:space="preserve">Zielgruppe: Vergabestelle, Rechtsamt, Zentraler Einkauf · Bearbeitungsdauer: ca. 90 Minuten Anpassung</w:t>
      </w:r>
    </w:p>
    <w:p>
      <w:pPr>
        <w:pBdr>
          <w:bottom w:val="single" w:color="D91C70" w:sz="6" w:space="4"/>
        </w:pBdr>
      </w:pPr>
      <w:r>
        <w:rPr>
          <w:sz w:val="18"/>
          <w:szCs w:val="18"/>
        </w:rPr>
        <w:t xml:space="preserve">Unverbindliche Arbeitshilfe – keine Rechtsberatung. Zuständigkeiten, Fristen, Vergabevorschriften, Datenschutzanforderungen und rechtliche Regelungen sind vor der Verwendung durch die zuständigen Stellen der Kommune zu prüfen und anzupassen.</w:t>
      </w:r>
    </w:p>
    <w:p>
      <w:pPr>
        <w:pStyle w:val="Heading2"/>
      </w:pPr>
      <w:r>
        <w:t xml:space="preserve">Vertragsbausteine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Gegenstand der Ausschreibung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Leistungsgebiet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Vertragslaufzeit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Einzelabrufe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Mindest- und Höchstmengen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Reaktionszeiten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Eignungsnachweise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Betriebshaftpflichtversicherung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Referenzen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Qualifikation des Personals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Nachunternehmer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Umwelt- und Arbeitsschutz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Datenschutz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Digitale Dokumentation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Abnahme und Gewährleistung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Preisgleitklauseln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Vertragsstrafen nur nach rechtlicher Prüfung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Kündigung und Vertragsbeendigung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Vollständiger Datenexport bei Vertragsende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Bewertungsmatrix (Vorschlag, online veränderbar)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Kriterium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Gewichtung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Preis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35 %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Qualität und Oberflächenschonung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25 %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Reaktionszeit und Verfügbarkeit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15 %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Dokumentation und digitale Prozesse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10 %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Referenzen und Fachkunde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10 %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Umwelt- und Nachhaltigkeitskonzept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5 %</w:t>
            </w:r>
          </w:p>
        </w:tc>
      </w:tr>
    </w:tbl>
    <w:p>
      <w:r>
        <w:t xml:space="preserve"> 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Wichtige Hinweise</w:t>
      </w:r>
    </w:p>
    <w:p>
      <w:r>
        <w:rPr>
          <w:sz w:val="22"/>
          <w:szCs w:val="22"/>
        </w:rPr>
        <w:t xml:space="preserve">Unverbindliche Muster. Vergaberechtliche Zulässigkeit, Schwellenwerte und Vertragsstrafen sind vor Verwendung rechtlich zu prüfen.</w:t>
      </w:r>
    </w:p>
    <w:p>
      <w:pPr>
        <w:pStyle w:val="Heading2"/>
      </w:pPr>
      <w:r>
        <w:t xml:space="preserve">Quellen und weiterführende Informationen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GraffitiNetzwerk Thüringen: Fachbetriebe im Netzwerk – https://www.graffitinetz.de/netzwerk</w:t>
      </w:r>
    </w:p>
    <w:p>
      <w:pPr>
        <w:pStyle w:val="Heading2"/>
      </w:pPr>
      <w:r>
        <w:t xml:space="preserve">Änderungsverlauf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Version 1.0 (2026-08-24): Erstveröffentlichung im kommunalen Werkzeugkasten.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A6272"/>
        <w:sz w:val="16"/>
        <w:szCs w:val="16"/>
      </w:rPr>
      <w:t xml:space="preserve">Unverbindliche Arbeitshilfe – keine Rechtsberatung. Seite </w:t>
    </w:r>
    <w:r>
      <w:rPr>
        <w:color w:val="5A62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5A6272"/>
        <w:sz w:val="16"/>
        <w:szCs w:val="16"/>
      </w:rPr>
      <w:t xml:space="preserve">GraffitiNetzwerk Thüringen · www.graffitinetz.de · AH-07 · Version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6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2026-08-24T18:25:22.355Z</dcterms:created>
  <dcterms:modified xsi:type="dcterms:W3CDTF">2026-08-24T18:25:22.355Z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