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3</w:t>
      </w:r>
    </w:p>
    <w:p>
      <w:pPr>
        <w:pStyle w:val="Heading1"/>
      </w:pPr>
      <w:r>
        <w:t xml:space="preserve">Vorlage für eine kommunale Dienstanweisung</w:t>
      </w:r>
    </w:p>
    <w:p>
      <w:r>
        <w:rPr>
          <w:i/>
          <w:iCs/>
          <w:sz w:val="22"/>
          <w:szCs w:val="22"/>
        </w:rPr>
        <w:t xml:space="preserve">Dienstanweisung für Mitarbeitende, Hausmeister, Objektverantwortliche und kommunale Eigenbetriebe zum Umgang mit festgestellten Graffiti.</w:t>
      </w:r>
    </w:p>
    <w:p>
      <w:r>
        <w:rPr>
          <w:color w:val="5A6272"/>
          <w:sz w:val="18"/>
          <w:szCs w:val="18"/>
        </w:rPr>
        <w:t xml:space="preserve">AH-03 · Kategorie: Strategie und Organisation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Amtsleitungen, Hausmeisterdienste, Objektverantwortliche, Eigenbetriebe · Bearbeitungsdauer: ca. 60 Minuten Anpassung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Inhalte der Dienstanweisung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Zweck und Geltungsbereich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Verpflichtung zur zentralen Meldung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Erforderliche Fotos und Standortangaben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Erfassung von Größe, Untergrund und Inhalt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Umgang mit verfassungsfeindlichen, rassistischen, beleidigenden oder bedrohenden Inhalten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Weiterleitung an Polizei und zuständige Stellen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Beweissicherung vor der Entfernung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Prüfung von Eigentum und Zuständigkeit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Beauftragung und Freigabe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Vorher-Nachher-Dokumentation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Abnahme der ausgeführten Leistung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Speicherung und Löschung von Daten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Verhalten bei Denkmälern und empfindlichen Oberflächen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Verantwortlichkeiten und Vertretungsregelungen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Editierbare Platzhalter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[Name der Kommune]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[erlassende Stelle]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[Datum des Inkrafttretens]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[zentrale Meldestelle]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[Rufbereitschaft]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[Freigabegrenze in Euro]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[Aufbewahrungsfrist]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[Vertretungsregelung]</w:t>
      </w:r>
    </w:p>
    <w:p>
      <w:pPr>
        <w:pStyle w:val="Heading2"/>
      </w:pPr>
      <w:r>
        <w:t xml:space="preserve">Wichtige Hinweise</w:t>
      </w:r>
    </w:p>
    <w:p>
      <w:r>
        <w:rPr>
          <w:sz w:val="22"/>
          <w:szCs w:val="22"/>
        </w:rPr>
        <w:t xml:space="preserve">Alle kommunal anpassbaren Stellen sind in der Vorlage als Platzhalter in eckigen Klammern gekennzeichnet.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Recht und Kosten – https://www.graffitinetz.de/recht-kosten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AH-03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2026-08-24T18:25:22.149Z</dcterms:created>
  <dcterms:modified xsi:type="dcterms:W3CDTF">2026-08-24T18:25:22.149Z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