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D91C70"/>
          <w:sz w:val="20"/>
          <w:szCs w:val="20"/>
        </w:rPr>
        <w:t xml:space="preserve">Arbeitshilfe 2</w:t>
      </w:r>
    </w:p>
    <w:p>
      <w:pPr>
        <w:pStyle w:val="Heading1"/>
      </w:pPr>
      <w:r>
        <w:t xml:space="preserve">Ablaufplan und Zuständigkeitsmatrix</w:t>
      </w:r>
    </w:p>
    <w:p>
      <w:r>
        <w:rPr>
          <w:i/>
          <w:iCs/>
          <w:sz w:val="22"/>
          <w:szCs w:val="22"/>
        </w:rPr>
        <w:t xml:space="preserve">Visueller Prozessablauf von der Meldung bis zur Auswertung sowie eine RACI-Matrix zur eindeutigen Zuordnung aller beteiligten Rollen.</w:t>
      </w:r>
    </w:p>
    <w:p>
      <w:r>
        <w:rPr>
          <w:color w:val="5A6272"/>
          <w:sz w:val="18"/>
          <w:szCs w:val="18"/>
        </w:rPr>
        <w:t xml:space="preserve">AH-02 · Kategorie: Priorisierung und Zuständigkeit · Version 1.0 · Stand 2026-08-24 · Redaktion: Redaktion GraffitiNetzwerk Thüringen</w:t>
      </w:r>
    </w:p>
    <w:p>
      <w:r>
        <w:rPr>
          <w:color w:val="5A6272"/>
          <w:sz w:val="18"/>
          <w:szCs w:val="18"/>
        </w:rPr>
        <w:t xml:space="preserve">Zielgruppe: Prozessverantwortliche, Organisationsamt, Eigenbetriebe · Bearbeitungsdauer: ca. 45 Minuten Konfiguration</w:t>
      </w:r>
    </w:p>
    <w:p>
      <w:pPr>
        <w:pBdr>
          <w:bottom w:val="single" w:color="D91C70" w:sz="6" w:space="4"/>
        </w:pBdr>
      </w:pPr>
      <w:r>
        <w:rPr>
          <w:sz w:val="18"/>
          <w:szCs w:val="18"/>
        </w:rPr>
        <w:t xml:space="preserve">Unverbindliche Arbeitshilfe – keine Rechtsberatung. Zuständigkeiten, Fristen, Vergabevorschriften, Datenschutzanforderungen und rechtliche Regelungen sind vor der Verwendung durch die zuständigen Stellen der Kommune zu prüfen und anzupassen.</w:t>
      </w:r>
    </w:p>
    <w:p>
      <w:pPr>
        <w:pStyle w:val="Heading2"/>
      </w:pPr>
      <w:r>
        <w:t xml:space="preserve">Prozessschritte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Meldung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Erfassung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Eigentümerprüfung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Inhaltsbewertung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Priorisierung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Dokumentation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Beauftragung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Entfernung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Abnahme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Schutz und Prävention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Auswertung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Rollen der Zuständigkeitsmatrix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Zentrale Graffiti-Koordination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Ordnungsamt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Liegenschaftsamt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Tiefbauamt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Straßenverwaltung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Gebäudemanagement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Schulverwaltung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Jugendamt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Kulturamt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Denkmalschutzbehörde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Stadtmarketing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Pressestelle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Kommunaler Eigenbetrieb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Polizei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Eigentümer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Wohnungsunternehmen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Reinigungsfachbetrieb</w:t>
      </w:r>
    </w:p>
    <w:p>
      <w:pPr>
        <w:pStyle w:val="ListParagraph"/>
        <w:numPr>
          <w:ilvl w:val="0"/>
          <w:numId w:val="2"/>
        </w:numPr>
      </w:pPr>
      <w:r>
        <w:rPr>
          <w:sz w:val="22"/>
          <w:szCs w:val="22"/>
        </w:rPr>
        <w:t xml:space="preserve">Streetwork oder Jugendprojekt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RACI-Legende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Kürzel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Bedeutung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3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Erläuterung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verantwortlich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Trägt die Ergebnisverantwortung für den Schritt.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ausführend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Führt die Tätigkeit operativ durch.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beratend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Wird fachlich beteiligt, bevor entschieden wird.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zu informieren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Erhält das Ergebnis zur Kenntnis.</w:t>
            </w:r>
          </w:p>
        </w:tc>
      </w:tr>
    </w:tbl>
    <w:p>
      <w:r>
        <w:t xml:space="preserve"> </w:t>
      </w:r>
    </w:p>
    <w:p>
      <w:r>
        <w:rPr>
          <w:color w:val="5A6272"/>
          <w:sz w:val="20"/>
          <w:szCs w:val="20"/>
        </w:rPr>
        <w:t xml:space="preserve">Kommunale Ergänzung: [____________________________________________]</w:t>
      </w:r>
    </w:p>
    <w:p>
      <w:pPr>
        <w:pStyle w:val="Heading2"/>
      </w:pPr>
      <w:r>
        <w:t xml:space="preserve">Wichtige Hinweise</w:t>
      </w:r>
    </w:p>
    <w:p>
      <w:r>
        <w:rPr>
          <w:sz w:val="22"/>
          <w:szCs w:val="22"/>
        </w:rPr>
        <w:t xml:space="preserve">Die Matrix ist ein Organisationsvorschlag und ersetzt keine Geschäftsverteilung oder Dienstanweisung.</w:t>
      </w:r>
    </w:p>
    <w:p>
      <w:pPr>
        <w:pStyle w:val="Heading2"/>
      </w:pPr>
      <w:r>
        <w:t xml:space="preserve">Quellen und weiterführende Informationen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GraffitiNetzwerk Thüringen: Kommunale Handlungsfelder – https://www.graffitinetz.de/zielgruppen/kommunen</w:t>
      </w:r>
    </w:p>
    <w:p>
      <w:pPr>
        <w:pStyle w:val="Heading2"/>
      </w:pPr>
      <w:r>
        <w:t xml:space="preserve">Änderungsverlauf</w:t>
      </w:r>
    </w:p>
    <w:p>
      <w:pPr>
        <w:pStyle w:val="ListParagraph"/>
        <w:numPr>
          <w:ilvl w:val="0"/>
          <w:numId w:val="2"/>
        </w:numPr>
      </w:pPr>
      <w:r>
        <w:rPr>
          <w:sz w:val="20"/>
          <w:szCs w:val="20"/>
        </w:rPr>
        <w:t xml:space="preserve">Version 1.0 (2026-08-24): Erstveröffentlichung im kommunalen Werkzeugkasten.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A6272"/>
        <w:sz w:val="16"/>
        <w:szCs w:val="16"/>
      </w:rPr>
      <w:t xml:space="preserve">Unverbindliche Arbeitshilfe – keine Rechtsberatung. Seite </w:t>
    </w:r>
    <w:r>
      <w:rPr>
        <w:color w:val="5A62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5A6272"/>
        <w:sz w:val="16"/>
        <w:szCs w:val="16"/>
      </w:rPr>
      <w:t xml:space="preserve">GraffitiNetzwerk Thüringen · www.graffitinetz.de · AH-02 · Version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6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2026-08-24T18:25:22.047Z</dcterms:created>
  <dcterms:modified xsi:type="dcterms:W3CDTF">2026-08-24T18:25:22.047Z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