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1</w:t>
      </w:r>
    </w:p>
    <w:p>
      <w:pPr>
        <w:pStyle w:val="Heading1"/>
      </w:pPr>
      <w:r>
        <w:t xml:space="preserve">Muster einer kommunalen Graffiti-Richtlinie</w:t>
      </w:r>
    </w:p>
    <w:p>
      <w:r>
        <w:rPr>
          <w:i/>
          <w:iCs/>
          <w:sz w:val="22"/>
          <w:szCs w:val="22"/>
        </w:rPr>
        <w:t xml:space="preserve">Anpassbare Richtlinie für den einheitlichen Umgang mit illegalen Graffiti, Aufklebern, Plakaten und vergleichbaren Vandalismusverschmutzungen auf kommunalen Flächen.</w:t>
      </w:r>
    </w:p>
    <w:p>
      <w:r>
        <w:rPr>
          <w:color w:val="5A6272"/>
          <w:sz w:val="18"/>
          <w:szCs w:val="18"/>
        </w:rPr>
        <w:t xml:space="preserve">AH-01 · Kategorie: Strategie und Organisation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Verwaltungsleitung, zentrale Koordination, Ordnungs- und Liegenschaftsamt · Bearbeitungsdauer: ca. 90 Minuten Anpassung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Kapitelstruktur der Richtlinie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Zweck und Zielsetzung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Geltungsbereich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Begriffsdefinitionen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Grundsätze des kommunalen Graffiti-Managements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Zentrale Koordinierungsstelle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Beteiligte Ämter und Eigenbetriebe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Meldung und Erfassung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Prüfung der Eigentumsverhältnisse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Bewertung und Priorisierung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Dokumentation möglicher Straftaten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Beauftragung der Entfernung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Auswahl geeigneter Reinigungsverfahren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Schutz besonders gefährdeter Oberflächen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Umgang mit Denkmälern und historischen Fassaden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Prävention, Streetwork und legale 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Datenschutz und Aufbewahrung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Berichtswesen und Kennzahlen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Inkrafttreten und regelmäßige Überprüfung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Hinweise zur Anpassung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Interne Reaktionszeiten sind Zielwerte der Kommune und keine gesetzlichen Fristen.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Die Richtlinie sollte mit Personalvertretung, Datenschutzbeauftragung und IT abgestimmt werden.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Reinigungsverfahren sind herstellerneutral zu beschreiben.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Eine Überprüfung der Richtlinie wird jährlich empfohlen.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Editierbare Platzhalter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[Name der Kommune]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[zuständiges Amt]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[zentrale Meldestelle]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[Ansprechpartner]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[interne Reaktionszeiten]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[beteiligte Fachbereiche]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[Freigabegrenzen]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  <w:sz w:val="22"/>
          <w:szCs w:val="22"/>
          <w:highlight w:val="yellow"/>
          <w:highlightCs w:val="yellow"/>
        </w:rPr>
        <w:t xml:space="preserve">[Berichtsintervall]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Gemeinde- und Städtebund Thüringen: Digitalisierung – https://www.gstb-thueringen.de/themen/digitalisierung/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Prävention und Organisation – https://www.graffitinetz.de/loesungen/praevention-organisation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AH-01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2026-08-24T18:25:21.954Z</dcterms:created>
  <dcterms:modified xsi:type="dcterms:W3CDTF">2026-08-24T18:25:21.954Z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